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pPr>
      <w:r>
        <w:rPr>
          <w:rFonts w:ascii="Arial" w:cs="Arial" w:eastAsia="Arial" w:hAnsi="Arial"/>
          <w:b/>
          <w:bCs/>
          <w:caps/>
          <w:color w:val="2563A8"/>
          <w:sz w:val="18"/>
          <w:szCs w:val="18"/>
        </w:rPr>
        <w:t xml:space="preserve">ARTICLE 5.2  ·  SECTION 5: SMS OPERATIONS AND SERVICE MANAGEMENT PRACTICES</w:t>
      </w:r>
    </w:p>
    <w:p>
      <w:pPr>
        <w:spacing w:after="120"/>
      </w:pPr>
      <w:r>
        <w:rPr>
          <w:rFonts w:ascii="Arial" w:cs="Arial" w:eastAsia="Arial" w:hAnsi="Arial"/>
          <w:b/>
          <w:bCs/>
          <w:caps w:val="false"/>
          <w:color w:val="1B3A5C"/>
          <w:sz w:val="44"/>
          <w:szCs w:val="44"/>
        </w:rPr>
        <w:t xml:space="preserve">Incident Management in Practice: From Logging to Closure</w:t>
      </w:r>
    </w:p>
    <w:p>
      <w:pPr>
        <w:spacing w:after="60"/>
      </w:pPr>
      <w:r>
        <w:rPr>
          <w:rFonts w:ascii="Georgia" w:cs="Georgia" w:eastAsia="Georgia" w:hAnsi="Georgia"/>
          <w:b w:val="false"/>
          <w:bCs w:val="false"/>
          <w:color w:val="4B5563"/>
          <w:sz w:val="24"/>
          <w:szCs w:val="24"/>
        </w:rPr>
        <w:t xml:space="preserve">Building an incident management capability that satisfies ISO 20000 and delivers genuine service quality — incident classification and prioritization matrix, SLA target setting by priority, escalation procedures, major incident management, and the incident records that auditors examine during fieldwork.</w:t>
      </w:r>
    </w:p>
    <w:p>
      <w:pPr>
        <w:spacing w:after="40"/>
      </w:pPr>
      <w:r>
        <w:rPr>
          <w:rFonts w:ascii="Arial" w:cs="Arial" w:eastAsia="Arial" w:hAnsi="Arial"/>
          <w:b w:val="false"/>
          <w:bCs w:val="false"/>
          <w:caps w:val="false"/>
          <w:color w:val="9CA3AF"/>
          <w:sz w:val="18"/>
          <w:szCs w:val="18"/>
        </w:rPr>
        <w:t xml:space="preserve">Bitlion GRC Documentation  ·  Updated April 2026  ·  Reading time: ~13 min read</w:t>
      </w:r>
    </w:p>
    <w:p>
      <w:pPr>
        <w:pBdr>
          <w:bottom w:val="single" w:color="D1D5DB" w:sz="2" w:space="1"/>
        </w:pBdr>
        <w:spacing w:after="200" w:before="200"/>
      </w:pPr>
      <w:r>
        <w:t xml:space="preserve"/>
      </w:r>
    </w:p>
    <w:p>
      <w:pPr>
        <w:spacing w:after="100"/>
      </w:pPr>
      <w:r>
        <w:t xml:space="preserve"/>
      </w:r>
    </w:p>
    <w:p>
      <w:pPr>
        <w:pBdr>
          <w:bottom w:val="single" w:color="2563A8" w:sz="4" w:space="4"/>
        </w:pBdr>
        <w:spacing w:after="160" w:before="400"/>
      </w:pPr>
      <w:r>
        <w:rPr>
          <w:rFonts w:ascii="Arial" w:cs="Arial" w:eastAsia="Arial" w:hAnsi="Arial"/>
          <w:b/>
          <w:bCs/>
          <w:caps w:val="false"/>
          <w:color w:val="1B3A5C"/>
          <w:sz w:val="28"/>
          <w:szCs w:val="28"/>
        </w:rPr>
        <w:t xml:space="preserve">The Incident Management Lifecycle</w:t>
      </w:r>
    </w:p>
    <w:p>
      <w:pPr>
        <w:spacing w:after="160" w:line="320"/>
        <w:jc w:val="both"/>
      </w:pPr>
      <w:r>
        <w:rPr>
          <w:rFonts w:ascii="Georgia" w:cs="Georgia" w:eastAsia="Georgia" w:hAnsi="Georgia"/>
          <w:b w:val="false"/>
          <w:bCs w:val="false"/>
          <w:color w:val="111827"/>
          <w:sz w:val="22"/>
          <w:szCs w:val="22"/>
        </w:rPr>
        <w:t xml:space="preserve">Every incident passes through a clear sequence: detection by monitoring alert, service desk call, or user self-service submission → logging with mandatory fields captured → classification by category, subcategory, and affected service → prioritization using the priority matrix → assignment to a resolver group → investigation and diagnosis of the root cause → resolution (either through permanent fix or documented workaround) → closure verification with the reporter → post-closure review for major incidents. The lifecycle is not linear; incidents may be reassigned, escalated, or reclassified if new information emerges. Effective incident management requires discipline at every stage.</w:t>
      </w:r>
    </w:p>
    <w:p>
      <w:pPr>
        <w:pBdr>
          <w:bottom w:val="single" w:color="2563A8" w:sz="4" w:space="4"/>
        </w:pBdr>
        <w:spacing w:after="160" w:before="400"/>
      </w:pPr>
      <w:r>
        <w:rPr>
          <w:rFonts w:ascii="Arial" w:cs="Arial" w:eastAsia="Arial" w:hAnsi="Arial"/>
          <w:b/>
          <w:bCs/>
          <w:caps w:val="false"/>
          <w:color w:val="1B3A5C"/>
          <w:sz w:val="28"/>
          <w:szCs w:val="28"/>
        </w:rPr>
        <w:t xml:space="preserve">Incident Detection Channels</w:t>
      </w:r>
    </w:p>
    <w:p>
      <w:pPr>
        <w:spacing w:after="160" w:line="320"/>
        <w:jc w:val="both"/>
      </w:pPr>
      <w:r>
        <w:rPr>
          <w:rFonts w:ascii="Georgia" w:cs="Georgia" w:eastAsia="Georgia" w:hAnsi="Georgia"/>
          <w:b w:val="false"/>
          <w:bCs w:val="false"/>
          <w:color w:val="111827"/>
          <w:sz w:val="22"/>
          <w:szCs w:val="22"/>
        </w:rPr>
        <w:t xml:space="preserve">Incidents must be detected and logged from all channels: infrastructure and application monitoring alerts (automated); service desk phone calls and email submissions; user self-service portal submissions; security event or audit alert; customer notification. The challenge is ensuring all channels feed into a single incident queue so that no incidents are missed and no duplicate incidents are created. If monitoring detects an infrastructure failure, the system should either automatically create an incident or immediately trigger a service desk notification. If a customer calls about an email outage, the service desk should check if an automated incident has already been created before opening a new record.</w:t>
      </w:r>
    </w:p>
    <w:p>
      <w:pPr>
        <w:pBdr>
          <w:bottom w:val="single" w:color="2563A8" w:sz="4" w:space="4"/>
        </w:pBdr>
        <w:spacing w:after="160" w:before="400"/>
      </w:pPr>
      <w:r>
        <w:rPr>
          <w:rFonts w:ascii="Arial" w:cs="Arial" w:eastAsia="Arial" w:hAnsi="Arial"/>
          <w:b/>
          <w:bCs/>
          <w:caps w:val="false"/>
          <w:color w:val="1B3A5C"/>
          <w:sz w:val="28"/>
          <w:szCs w:val="28"/>
        </w:rPr>
        <w:t xml:space="preserve">Incident Logging Standards</w:t>
      </w:r>
    </w:p>
    <w:p>
      <w:pPr>
        <w:spacing w:after="160" w:line="320"/>
        <w:jc w:val="both"/>
      </w:pPr>
      <w:r>
        <w:rPr>
          <w:rFonts w:ascii="Georgia" w:cs="Georgia" w:eastAsia="Georgia" w:hAnsi="Georgia"/>
          <w:b w:val="false"/>
          <w:bCs w:val="false"/>
          <w:color w:val="111827"/>
          <w:sz w:val="22"/>
          <w:szCs w:val="22"/>
        </w:rPr>
        <w:t xml:space="preserve">Every incident must have mandatory fields captured at the moment of logging: affected service name (linked to CMDB service CI), reporter contact details (name and phone), symptom description in the reporter's words (not the technician's interpretation), impact assessment (how many users or business processes are affected), date and time of first report. The risk of under-logging is that critical information is lost before investigation begins. Front-line staff training on consistent logging is essential; auditors sample incident records and rate logging quality as a KPI.</w:t>
      </w:r>
    </w:p>
    <w:p>
      <w:pPr>
        <w:pBdr>
          <w:bottom w:val="single" w:color="2563A8" w:sz="4" w:space="4"/>
        </w:pBdr>
        <w:spacing w:after="160" w:before="400"/>
      </w:pPr>
      <w:r>
        <w:rPr>
          <w:rFonts w:ascii="Arial" w:cs="Arial" w:eastAsia="Arial" w:hAnsi="Arial"/>
          <w:b/>
          <w:bCs/>
          <w:caps w:val="false"/>
          <w:color w:val="1B3A5C"/>
          <w:sz w:val="28"/>
          <w:szCs w:val="28"/>
        </w:rPr>
        <w:t xml:space="preserve">Classification and Category Taxonomy</w:t>
      </w:r>
    </w:p>
    <w:p>
      <w:pPr>
        <w:spacing w:after="160" w:line="320"/>
        <w:jc w:val="both"/>
      </w:pPr>
      <w:r>
        <w:rPr>
          <w:rFonts w:ascii="Georgia" w:cs="Georgia" w:eastAsia="Georgia" w:hAnsi="Georgia"/>
          <w:b w:val="false"/>
          <w:bCs w:val="false"/>
          <w:color w:val="111827"/>
          <w:sz w:val="22"/>
          <w:szCs w:val="22"/>
        </w:rPr>
        <w:t xml:space="preserve">A standard category taxonomy—hardware failure, network connectivity, application malfunction, database issue, security event, environmental (power, cooling)—enables consistent reporting and trending. Each incident must be placed in a category; many organizations also use a subcategory (e.g., under "database issue": login failure, slow query, space exhaustion). The classification should also link the incident to the affected CI in the CMDB, so that impact assessment and problem trend analysis can query by CI. Classification accuracy (the percentage of incidents classified correctly on first attempt, not requiring reclassification) is a KPI; accuracy below 85% indicates a need for training or clarification of the category definitions.</w:t>
      </w:r>
    </w:p>
    <w:p>
      <w:pPr>
        <w:pBdr>
          <w:bottom w:val="single" w:color="2563A8" w:sz="4" w:space="4"/>
        </w:pBdr>
        <w:spacing w:after="160" w:before="400"/>
      </w:pPr>
      <w:r>
        <w:rPr>
          <w:rFonts w:ascii="Arial" w:cs="Arial" w:eastAsia="Arial" w:hAnsi="Arial"/>
          <w:b/>
          <w:bCs/>
          <w:caps w:val="false"/>
          <w:color w:val="1B3A5C"/>
          <w:sz w:val="28"/>
          <w:szCs w:val="28"/>
        </w:rPr>
        <w:t xml:space="preserve">The Priority Matrix in Practice</w:t>
      </w:r>
    </w:p>
    <w:p>
      <w:pPr>
        <w:spacing w:after="160" w:line="320"/>
        <w:jc w:val="both"/>
      </w:pPr>
      <w:r>
        <w:rPr>
          <w:rFonts w:ascii="Georgia" w:cs="Georgia" w:eastAsia="Georgia" w:hAnsi="Georgia"/>
          <w:b w:val="false"/>
          <w:bCs w:val="false"/>
          <w:color w:val="111827"/>
          <w:sz w:val="22"/>
          <w:szCs w:val="22"/>
        </w:rPr>
        <w:t xml:space="preserve">The standard approach is a 4×4 impact/urgency grid. Impact has four levels: critical (many users, business-critical function affected, significant financial impact), high (significant user impact, important but not critical function), medium (moderate user impact), low (single user or non-critical function affected). Urgency has four levels: immediate (significant business impact within hours), soon (business impact within 24 hours), routine (can wait for normal queue), and future (not affecting current operations). P1 incidents are critical/immediate; P2 are critical/soon or high/immediate; P3 are high/soon or medium/immediate; P4 is everything else. The priority matrix must be agreed with customers and referenced in SLAs. Resolution targets (P1 4 hours, P2 12 hours, P3 24 hours, P4 5 working days) are examples; actual targets depend on the organization's capability.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KEY CONCEPT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Incidents are about service restoration, not root cause. The goal is to restore service as fast as possible, even through workarounds. Root cause investigation is the role of problem management, triggered after the incident is closed.</w:t>
            </w:r>
          </w:p>
        </w:tc>
      </w:tr>
    </w:tbl>
    <w:p>
      <w:pPr>
        <w:pBdr>
          <w:bottom w:val="single" w:color="2563A8" w:sz="4" w:space="4"/>
        </w:pBdr>
        <w:spacing w:after="160" w:before="400"/>
      </w:pPr>
      <w:r>
        <w:rPr>
          <w:rFonts w:ascii="Arial" w:cs="Arial" w:eastAsia="Arial" w:hAnsi="Arial"/>
          <w:b/>
          <w:bCs/>
          <w:caps w:val="false"/>
          <w:color w:val="1B3A5C"/>
          <w:sz w:val="28"/>
          <w:szCs w:val="28"/>
        </w:rPr>
        <w:t xml:space="preserve">Assignment and Ownership</w:t>
      </w:r>
    </w:p>
    <w:p>
      <w:pPr>
        <w:spacing w:after="160" w:line="320"/>
        <w:jc w:val="both"/>
      </w:pPr>
      <w:r>
        <w:rPr>
          <w:rFonts w:ascii="Georgia" w:cs="Georgia" w:eastAsia="Georgia" w:hAnsi="Georgia"/>
          <w:b w:val="false"/>
          <w:bCs w:val="false"/>
          <w:color w:val="111827"/>
          <w:sz w:val="22"/>
          <w:szCs w:val="22"/>
        </w:rPr>
        <w:t xml:space="preserve">Incidents are assigned to a resolver group (e.g., infrastructure team, database team, applications team). The assignment must be clear; ambiguous assignment results in orphan incidents that fall between teams. Within the team, an incident owner is designated—responsible for ensuring progress throughout the lifecycle regardless of which individual technician is working on it. The incident owner monitors SLA compliance, ensures escalation when needed, and maintains communication with the reporter. Without clear ownership, high-priority incidents can stall.</w:t>
      </w:r>
    </w:p>
    <w:p>
      <w:pPr>
        <w:pBdr>
          <w:bottom w:val="single" w:color="2563A8" w:sz="4" w:space="4"/>
        </w:pBdr>
        <w:spacing w:after="160" w:before="400"/>
      </w:pPr>
      <w:r>
        <w:rPr>
          <w:rFonts w:ascii="Arial" w:cs="Arial" w:eastAsia="Arial" w:hAnsi="Arial"/>
          <w:b/>
          <w:bCs/>
          <w:caps w:val="false"/>
          <w:color w:val="1B3A5C"/>
          <w:sz w:val="28"/>
          <w:szCs w:val="28"/>
        </w:rPr>
        <w:t xml:space="preserve">Escalation in Depth</w:t>
      </w:r>
    </w:p>
    <w:p>
      <w:pPr>
        <w:spacing w:after="160" w:line="320"/>
        <w:jc w:val="both"/>
      </w:pPr>
      <w:r>
        <w:rPr>
          <w:rFonts w:ascii="Georgia" w:cs="Georgia" w:eastAsia="Georgia" w:hAnsi="Georgia"/>
          <w:b w:val="false"/>
          <w:bCs w:val="false"/>
          <w:color w:val="111827"/>
          <w:sz w:val="22"/>
          <w:szCs w:val="22"/>
        </w:rPr>
        <w:t xml:space="preserve">Two types of escalation exist: functional escalation (the resolver group lacks the skill or tool access needed; escalate to a higher-level team) and hierarchical escalation (escalate to management when SLA breach is imminent, customer is dissatisfied, or media/regulatory risk is present). Escalation triggers must be defined: escalate if no progress in 1 hour for P1, 4 hours for P2, etc.; escalate if customer is unhappy; escalate if the incident indicates a security breach. Escalation procedures must include who to notify, when, and by what method (immediate phone call for P1, email for P3).</w:t>
      </w:r>
    </w:p>
    <w:p>
      <w:pPr>
        <w:pBdr>
          <w:bottom w:val="single" w:color="2563A8" w:sz="4" w:space="4"/>
        </w:pBdr>
        <w:spacing w:after="160" w:before="400"/>
      </w:pPr>
      <w:r>
        <w:rPr>
          <w:rFonts w:ascii="Arial" w:cs="Arial" w:eastAsia="Arial" w:hAnsi="Arial"/>
          <w:b/>
          <w:bCs/>
          <w:caps w:val="false"/>
          <w:color w:val="1B3A5C"/>
          <w:sz w:val="28"/>
          <w:szCs w:val="28"/>
        </w:rPr>
        <w:t xml:space="preserve">Major Incident Management</w:t>
      </w:r>
    </w:p>
    <w:p>
      <w:pPr>
        <w:spacing w:after="160" w:line="320"/>
        <w:jc w:val="both"/>
      </w:pPr>
      <w:r>
        <w:rPr>
          <w:rFonts w:ascii="Georgia" w:cs="Georgia" w:eastAsia="Georgia" w:hAnsi="Georgia"/>
          <w:b w:val="false"/>
          <w:bCs w:val="false"/>
          <w:color w:val="111827"/>
          <w:sz w:val="22"/>
          <w:szCs w:val="22"/>
        </w:rPr>
        <w:t xml:space="preserve">P1 incidents—those meeting the major incident criteria (critical service down, many users affected, sustained duration, significant business impact)—require special handling. A major incident manager (MIM) is assigned to coordinate response. A technical bridge or war room (physical or virtual conference) brings together representatives from all technical teams, the incident owner, and the customer liaison. Communication cadence is high: internal status updates every 15–30 minutes, customer updates every 30–60 minutes depending on severity. A customer-facing status page or email alerts keep leadership informed. The 24-hour rule: within 24 hours of incident closure, a major incident review (PIR—post-incident review) is scheduled. The PIR examines what happened, what was discovered, what could be improved, and what permanent fix is needed. PIR findings feed into problem management; the MIM role demonstrates that the SMS takes critical service impacts seriously.</w:t>
      </w:r>
    </w:p>
    <w:p>
      <w:pPr>
        <w:pBdr>
          <w:bottom w:val="single" w:color="2563A8" w:sz="4" w:space="4"/>
        </w:pBdr>
        <w:spacing w:after="160" w:before="400"/>
      </w:pPr>
      <w:r>
        <w:rPr>
          <w:rFonts w:ascii="Arial" w:cs="Arial" w:eastAsia="Arial" w:hAnsi="Arial"/>
          <w:b/>
          <w:bCs/>
          <w:caps w:val="false"/>
          <w:color w:val="1B3A5C"/>
          <w:sz w:val="28"/>
          <w:szCs w:val="28"/>
        </w:rPr>
        <w:t xml:space="preserve">Incident Closure and Closure Verification</w:t>
      </w:r>
    </w:p>
    <w:p>
      <w:pPr>
        <w:spacing w:after="160" w:line="320"/>
        <w:jc w:val="both"/>
      </w:pPr>
      <w:r>
        <w:rPr>
          <w:rFonts w:ascii="Georgia" w:cs="Georgia" w:eastAsia="Georgia" w:hAnsi="Georgia"/>
          <w:b w:val="false"/>
          <w:bCs w:val="false"/>
          <w:color w:val="111827"/>
          <w:sz w:val="22"/>
          <w:szCs w:val="22"/>
        </w:rPr>
        <w:t xml:space="preserve">An incident is not closed until the reporter confirms the issue is resolved from their perspective. Automated closure risks closing incidents without verification; some organizations auto-close after 48 hours with no activity, but this creates disputes if the problem was actually not fixed. Best practice: send a satisfaction survey to the reporter at closure, asking if the issue is fully resolved. The closure survey should be a single question with 1–5 options; responses below 3 are escalated back to investigation. Distinguish between "resolved" (problem fixed or workaround provided) and "closed" (reporter confirmed resolution); resolved incidents waiting for verification should not be counted as closed.</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IMPORTANT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Auditors sample 15–25 incident records at Stage 2. They look for classification consistency, escalation compliance, SLA status accuracy, and closure verification. Not just whether a record exists, but whether it shows real incident management discipline.</w:t>
            </w:r>
          </w:p>
        </w:tc>
      </w:tr>
    </w:tbl>
    <w:p>
      <w:pPr>
        <w:pBdr>
          <w:bottom w:val="single" w:color="2563A8" w:sz="4" w:space="4"/>
        </w:pBdr>
        <w:spacing w:after="160" w:before="400"/>
      </w:pPr>
      <w:r>
        <w:rPr>
          <w:rFonts w:ascii="Arial" w:cs="Arial" w:eastAsia="Arial" w:hAnsi="Arial"/>
          <w:b/>
          <w:bCs/>
          <w:caps w:val="false"/>
          <w:color w:val="1B3A5C"/>
          <w:sz w:val="28"/>
          <w:szCs w:val="28"/>
        </w:rPr>
        <w:t xml:space="preserve">Metrics and Reporting</w:t>
      </w:r>
    </w:p>
    <w:p>
      <w:pPr>
        <w:spacing w:after="160" w:line="320"/>
        <w:jc w:val="both"/>
      </w:pPr>
      <w:r>
        <w:rPr>
          <w:rFonts w:ascii="Georgia" w:cs="Georgia" w:eastAsia="Georgia" w:hAnsi="Georgia"/>
          <w:b w:val="false"/>
          <w:bCs w:val="false"/>
          <w:color w:val="111827"/>
          <w:sz w:val="22"/>
          <w:szCs w:val="22"/>
        </w:rPr>
        <w:t xml:space="preserve">Daily metrics: open incident count by priority, SLA achievement rate, trend compared to previous day. Weekly metrics: incident volume trend, top 5 incident categories by volume, top 5 CIs affected, resolution time (median and 95th percentile) by priority. Monthly SLA report section on incidents: incident volume, SLA achievement by priority, top causes, incidents reopened (closed but reported as still broken), customer satisfaction score from closure surveys, major incidents and PIR status. Incident trend analysis—three months of increasing P1s or increasing category—should trigger problem management investigation.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BITLION INSIGHT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Bitlion GRC incident management templates include mandatory logging fields, automated SLA tracking, escalation workflow automation, and ISO 20000 record compliance checker to flag incomplete or non-compliant incident records.</w:t>
            </w:r>
          </w:p>
        </w:tc>
      </w:tr>
    </w:tbl>
    <w:p>
      <w:pPr>
        <w:spacing w:after="200"/>
      </w:pPr>
      <w:r>
        <w:t xml:space="preserve"/>
      </w:r>
    </w:p>
    <w:p>
      <w:pPr>
        <w:spacing w:after="200"/>
      </w:pPr>
      <w:r>
        <w:t xml:space="preserve"/>
      </w:r>
    </w:p>
    <w:p>
      <w:pPr>
        <w:pBdr>
          <w:bottom w:val="single" w:color="D1D5DB" w:sz="2" w:space="1"/>
        </w:pBdr>
        <w:spacing w:after="200" w:before="200"/>
      </w:pPr>
      <w:r>
        <w:t xml:space="preserve"/>
      </w:r>
    </w:p>
    <w:p>
      <w:pPr>
        <w:spacing w:after="80"/>
      </w:pPr>
      <w:r>
        <w:t xml:space="preserve"/>
      </w:r>
    </w:p>
    <w:p>
      <w:pPr>
        <w:spacing w:after="40"/>
        <w:jc w:val="center"/>
      </w:pPr>
      <w:r>
        <w:rPr>
          <w:rFonts w:ascii="Arial" w:cs="Arial" w:hAnsi="Arial"/>
          <w:color w:val="9CA3AF"/>
          <w:sz w:val="17"/>
          <w:szCs w:val="17"/>
        </w:rPr>
        <w:t xml:space="preserve">ISO 20000 SMS Knowledge Hub  ·  Bitlion GRC Platform  ·  © 2026</w:t>
      </w:r>
    </w:p>
    <w:p>
      <w:pPr>
        <w:jc w:val="center"/>
      </w:pPr>
      <w:r>
        <w:rPr>
          <w:rFonts w:ascii="Arial" w:cs="Arial" w:hAnsi="Arial"/>
          <w:color w:val="9CA3AF"/>
          <w:sz w:val="17"/>
          <w:szCs w:val="17"/>
        </w:rPr>
        <w:t xml:space="preserve">This document is part of the Bitlion open compliance Knowledge Hub. For implementation support, visit bitlion.ai</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2026-04-05T09:55:21.431Z</dcterms:created>
  <dcterms:modified xsi:type="dcterms:W3CDTF">2026-04-05T09:55:21.431Z</dcterms:modified>
</cp:coreProperties>
</file>

<file path=docProps/custom.xml><?xml version="1.0" encoding="utf-8"?>
<Properties xmlns="http://schemas.openxmlformats.org/officeDocument/2006/custom-properties" xmlns:vt="http://schemas.openxmlformats.org/officeDocument/2006/docPropsVTypes"/>
</file>